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6F" w:rsidRDefault="0021626F" w:rsidP="0021626F">
      <w:pPr>
        <w:pStyle w:val="a5"/>
        <w:numPr>
          <w:ilvl w:val="0"/>
          <w:numId w:val="2"/>
        </w:num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перевод текста</w:t>
      </w:r>
    </w:p>
    <w:p w:rsidR="0021626F" w:rsidRPr="0021626F" w:rsidRDefault="0021626F" w:rsidP="0021626F">
      <w:pPr>
        <w:pStyle w:val="a5"/>
        <w:numPr>
          <w:ilvl w:val="0"/>
          <w:numId w:val="2"/>
        </w:num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216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16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2162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зачёту</w:t>
      </w:r>
      <w:bookmarkStart w:id="0" w:name="_GoBack"/>
      <w:bookmarkEnd w:id="0"/>
    </w:p>
    <w:p w:rsidR="0021626F" w:rsidRPr="0021626F" w:rsidRDefault="0021626F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F25FD">
        <w:rPr>
          <w:rFonts w:ascii="Times New Roman" w:hAnsi="Times New Roman" w:cs="Times New Roman"/>
          <w:sz w:val="24"/>
          <w:szCs w:val="24"/>
          <w:lang w:val="en-US"/>
        </w:rPr>
        <w:t xml:space="preserve">Robert Koch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en-US"/>
        </w:rPr>
        <w:t xml:space="preserve"> seiner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en-US"/>
        </w:rPr>
        <w:t>zweiten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en-US"/>
        </w:rPr>
        <w:t>Ehefrau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en-US"/>
        </w:rPr>
        <w:t xml:space="preserve"> Hedwig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en-US"/>
        </w:rPr>
        <w:t xml:space="preserve"> 1908</w:t>
      </w:r>
    </w:p>
    <w:p w:rsidR="00EF25FD" w:rsidRPr="00EF25FD" w:rsidRDefault="00EF25FD" w:rsidP="00EF25FD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Emmy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stammt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Tochter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Gertrud (* 1868),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Koch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zeit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seines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Verhältnis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bewahrte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Von seiner Frau </w:t>
      </w:r>
      <w:proofErr w:type="spellStart"/>
      <w:proofErr w:type="gram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ließ</w:t>
      </w:r>
      <w:proofErr w:type="spellEnd"/>
      <w:proofErr w:type="gram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dagegen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1890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scheiden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Dies war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damals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ungewöhnlicher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Schritt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die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Möglichkeit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"http://de.wikipedia.org/wiki/Scheidung" \l "Deutsches_Recht.23Deutsche_Vorschriften" \o "Scheidung" </w:instrText>
      </w:r>
      <w:r w:rsidRPr="00EF25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25FD">
        <w:rPr>
          <w:rFonts w:ascii="Times New Roman" w:eastAsiaTheme="majorEastAsia" w:hAnsi="Times New Roman" w:cs="Times New Roman"/>
          <w:sz w:val="24"/>
          <w:szCs w:val="24"/>
          <w:u w:val="single"/>
          <w:lang w:val="en-US" w:eastAsia="ru-RU"/>
        </w:rPr>
        <w:t>Scheidung</w:t>
      </w:r>
      <w:r w:rsidRPr="00EF25F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bestand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Reich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erst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–, der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leicht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die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soziale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Isolation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führen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konnte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Emmy Koch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stimmte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Scheidung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und Koch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kaufte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seiner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Eltern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Clausthal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zurück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ihrem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Tod 1913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F25FD" w:rsidRPr="00EF25FD" w:rsidRDefault="00EF25FD" w:rsidP="00EF25FD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Noch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1890,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seiner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Scheidung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traf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Koch auf die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damals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siebzehnjährige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Hedwig Freiberg. Ort der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Begegnung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 das Atelier des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Malers</w:t>
      </w:r>
      <w:hyperlink r:id="rId6" w:tooltip="Gustav Graef" w:history="1">
        <w:r w:rsidRPr="00EF25FD">
          <w:rPr>
            <w:rFonts w:ascii="Times New Roman" w:eastAsiaTheme="majorEastAsia" w:hAnsi="Times New Roman" w:cs="Times New Roman"/>
            <w:sz w:val="24"/>
            <w:szCs w:val="24"/>
            <w:u w:val="single"/>
            <w:lang w:val="en-US" w:eastAsia="ru-RU"/>
          </w:rPr>
          <w:t>Gustav</w:t>
        </w:r>
        <w:proofErr w:type="spellEnd"/>
        <w:r w:rsidRPr="00EF25FD">
          <w:rPr>
            <w:rFonts w:ascii="Times New Roman" w:eastAsiaTheme="majorEastAsia" w:hAnsi="Times New Roman" w:cs="Times New Roman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Pr="00EF25FD">
          <w:rPr>
            <w:rFonts w:ascii="Times New Roman" w:eastAsiaTheme="majorEastAsia" w:hAnsi="Times New Roman" w:cs="Times New Roman"/>
            <w:sz w:val="24"/>
            <w:szCs w:val="24"/>
            <w:u w:val="single"/>
            <w:lang w:val="en-US" w:eastAsia="ru-RU"/>
          </w:rPr>
          <w:t>Graef</w:t>
        </w:r>
        <w:proofErr w:type="spellEnd"/>
      </w:hyperlink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proofErr w:type="gram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Koch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Porträt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Modell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saß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Hedwig Freiberg war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Schülerin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Koch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heiratete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Freiberg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drei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später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Seine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zweite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Frau </w:t>
      </w:r>
      <w:proofErr w:type="spellStart"/>
      <w:proofErr w:type="gram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begleitete</w:t>
      </w:r>
      <w:proofErr w:type="spellEnd"/>
      <w:proofErr w:type="gram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anders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Emmy Koch –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gerne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auf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zahlreichen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Auslandsreisen</w:t>
      </w:r>
      <w:proofErr w:type="spellEnd"/>
      <w:r w:rsidRPr="00EF25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F25FD" w:rsidRPr="00EF25FD" w:rsidRDefault="00EF25FD" w:rsidP="00EF25FD">
      <w:pPr>
        <w:keepNext/>
        <w:keepLines/>
        <w:shd w:val="clear" w:color="auto" w:fill="FFFFFF"/>
        <w:spacing w:after="72" w:line="288" w:lineRule="atLeast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 w:rsidRPr="00EF25FD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7BEA2C51" wp14:editId="61B326BF">
            <wp:extent cx="2095500" cy="4343400"/>
            <wp:effectExtent l="0" t="0" r="0" b="0"/>
            <wp:docPr id="1" name="Рисунок 1" descr="http://upload.wikimedia.org/wikipedia/commons/thumb/9/9e/Microscope_Zeiss_1879.jpg/220px-Microscope_Zeiss_1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9/9e/Microscope_Zeiss_1879.jpg/220px-Microscope_Zeiss_18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5F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25FD"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0E24906" wp14:editId="74184AA3">
            <wp:extent cx="1619250" cy="2381250"/>
            <wp:effectExtent l="0" t="0" r="0" b="0"/>
            <wp:docPr id="2" name="Рисунок 2" descr="http://upload.wikimedia.org/wikipedia/commons/thumb/f/f8/Aetiologie_der_Tuberkulose.jpg/170px-Aetiologie_der_Tuberku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f/f8/Aetiologie_der_Tuberkulose.jpg/170px-Aetiologie_der_Tuberkulo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5FD">
        <w:rPr>
          <w:rFonts w:ascii="Times New Roman" w:eastAsiaTheme="majorEastAsia" w:hAnsi="Times New Roman" w:cs="Times New Roman"/>
          <w:kern w:val="36"/>
          <w:sz w:val="24"/>
          <w:szCs w:val="24"/>
          <w:lang w:val="en-US" w:eastAsia="ru-RU"/>
        </w:rPr>
        <w:t xml:space="preserve"> </w:t>
      </w:r>
      <w:r w:rsidRPr="00EF25F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Die </w:t>
      </w:r>
      <w:proofErr w:type="spellStart"/>
      <w:r w:rsidRPr="00EF25F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Entdeckung</w:t>
      </w:r>
      <w:proofErr w:type="spellEnd"/>
      <w:r w:rsidRPr="00EF25F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des </w:t>
      </w:r>
      <w:proofErr w:type="spellStart"/>
      <w:proofErr w:type="gramStart"/>
      <w:r w:rsidRPr="00EF25FD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Tuberkuloseerregers</w:t>
      </w:r>
      <w:proofErr w:type="spellEnd"/>
      <w:r w:rsidRPr="00EF25FD">
        <w:rPr>
          <w:rFonts w:ascii="Times New Roman" w:eastAsiaTheme="majorEastAsia" w:hAnsi="Times New Roman" w:cs="Times New Roman"/>
          <w:sz w:val="24"/>
          <w:szCs w:val="24"/>
          <w:lang w:val="en-US"/>
        </w:rPr>
        <w:t>[</w:t>
      </w:r>
      <w:proofErr w:type="spellStart"/>
      <w:proofErr w:type="gramEnd"/>
      <w:r w:rsidRPr="00EF25FD">
        <w:rPr>
          <w:rFonts w:ascii="Times New Roman" w:eastAsiaTheme="majorEastAsia" w:hAnsi="Times New Roman" w:cs="Times New Roman"/>
          <w:sz w:val="24"/>
          <w:szCs w:val="24"/>
        </w:rPr>
        <w:fldChar w:fldCharType="begin"/>
      </w:r>
      <w:r w:rsidRPr="00EF25FD">
        <w:rPr>
          <w:rFonts w:ascii="Times New Roman" w:eastAsiaTheme="majorEastAsia" w:hAnsi="Times New Roman" w:cs="Times New Roman"/>
          <w:sz w:val="24"/>
          <w:szCs w:val="24"/>
          <w:lang w:val="en-US"/>
        </w:rPr>
        <w:instrText xml:space="preserve"> HYPERLINK "http://de.wikipedia.org/w/index.php?title=Robert_Koch&amp;action=edit&amp;section=12" \o "Abschnitt bearbeiten: Die Entdeckung des Tuberkuloseerregers" </w:instrText>
      </w:r>
      <w:r w:rsidRPr="00EF25FD">
        <w:rPr>
          <w:rFonts w:ascii="Times New Roman" w:eastAsiaTheme="majorEastAsia" w:hAnsi="Times New Roman" w:cs="Times New Roman"/>
          <w:sz w:val="24"/>
          <w:szCs w:val="24"/>
        </w:rPr>
        <w:fldChar w:fldCharType="separate"/>
      </w:r>
      <w:r w:rsidRPr="00EF25FD">
        <w:rPr>
          <w:rFonts w:ascii="Times New Roman" w:eastAsiaTheme="majorEastAsia" w:hAnsi="Times New Roman" w:cs="Times New Roman"/>
          <w:sz w:val="24"/>
          <w:szCs w:val="24"/>
          <w:u w:val="single"/>
          <w:lang w:val="en-US"/>
        </w:rPr>
        <w:t>Bearbeiten</w:t>
      </w:r>
      <w:proofErr w:type="spellEnd"/>
      <w:r w:rsidRPr="00EF25FD">
        <w:rPr>
          <w:rFonts w:ascii="Times New Roman" w:eastAsiaTheme="majorEastAsia" w:hAnsi="Times New Roman" w:cs="Times New Roman"/>
          <w:sz w:val="24"/>
          <w:szCs w:val="24"/>
        </w:rPr>
        <w:fldChar w:fldCharType="end"/>
      </w:r>
      <w:r w:rsidRPr="00EF25FD">
        <w:rPr>
          <w:rFonts w:ascii="Times New Roman" w:eastAsiaTheme="majorEastAsia" w:hAnsi="Times New Roman" w:cs="Times New Roman"/>
          <w:sz w:val="24"/>
          <w:szCs w:val="24"/>
          <w:lang w:val="en-US"/>
        </w:rPr>
        <w:t>]</w:t>
      </w:r>
    </w:p>
    <w:p w:rsidR="00EF25FD" w:rsidRPr="00EF25FD" w:rsidRDefault="00EF25FD" w:rsidP="00EF25FD">
      <w:pPr>
        <w:shd w:val="clear" w:color="auto" w:fill="F9F9F9"/>
        <w:spacing w:line="28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438C9" wp14:editId="4E3374AC">
            <wp:extent cx="1619250" cy="2381250"/>
            <wp:effectExtent l="0" t="0" r="0" b="0"/>
            <wp:docPr id="3" name="Рисунок 3" descr="http://upload.wikimedia.org/wikipedia/commons/thumb/f/f8/Aetiologie_der_Tuberkulose.jpg/170px-Aetiologie_der_Tuberkulos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f/f8/Aetiologie_der_Tuberkulose.jpg/170px-Aetiologie_der_Tuberkulos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FDBC7" wp14:editId="266F2D59">
            <wp:extent cx="142875" cy="104775"/>
            <wp:effectExtent l="0" t="0" r="9525" b="9525"/>
            <wp:docPr id="4" name="Рисунок 4" descr="http://bits.wikimedia.org/static-1.23wmf18/skins/common/images/magnify-clip.png">
              <a:hlinkClick xmlns:a="http://schemas.openxmlformats.org/drawingml/2006/main" r:id="rId10" tooltip="&quot;vergrößern und Informationen zum Bild anzeig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its.wikimedia.org/static-1.23wmf18/skins/common/images/magnify-clip.png">
                      <a:hlinkClick r:id="rId10" tooltip="&quot;vergrößern und Informationen zum Bild anzeig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p w:rsidR="00EF25FD" w:rsidRPr="00EF25FD" w:rsidRDefault="00EF25FD" w:rsidP="00EF25FD">
      <w:pPr>
        <w:shd w:val="clear" w:color="auto" w:fill="F9F9F9"/>
        <w:spacing w:line="336" w:lineRule="atLeast"/>
        <w:rPr>
          <w:rFonts w:ascii="Times New Roman" w:hAnsi="Times New Roman" w:cs="Times New Roman"/>
          <w:sz w:val="24"/>
          <w:szCs w:val="24"/>
        </w:rPr>
      </w:pPr>
    </w:p>
    <w:p w:rsidR="00EF25FD" w:rsidRPr="00EF25FD" w:rsidRDefault="00EF25FD" w:rsidP="00EF25FD">
      <w:pPr>
        <w:spacing w:before="96" w:after="120" w:line="36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F25FD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Mikrobiologie</w:t>
      </w:r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(zusammengesetzt aus </w:t>
      </w:r>
      <w:hyperlink r:id="rId12" w:tooltip="Griechische Sprache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altgriechisch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de-DE"/>
        </w:rPr>
        <w:t>μικρός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EF25FD">
        <w:rPr>
          <w:rFonts w:ascii="Times New Roman" w:hAnsi="Times New Roman" w:cs="Times New Roman"/>
          <w:i/>
          <w:iCs/>
          <w:sz w:val="24"/>
          <w:szCs w:val="24"/>
          <w:lang w:val="de-DE"/>
        </w:rPr>
        <w:t>mikrós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„klein“, und </w:t>
      </w:r>
      <w:hyperlink r:id="rId13" w:tooltip="Biologie" w:history="1">
        <w:r w:rsidRPr="00EF25FD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de-DE"/>
          </w:rPr>
          <w:t>Biologie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) ist die Wissenschaft und Lehre von den </w:t>
      </w:r>
      <w:hyperlink r:id="rId14" w:tooltip="Mikroorganismus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Mikroorganismen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, also Lebewesen, die als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de-DE"/>
        </w:rPr>
        <w:t>Individen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nicht mit bloßem Auge erkannt werden können: </w:t>
      </w:r>
      <w:hyperlink r:id="rId15" w:tooltip="Bakterien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Bakterien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hyperlink r:id="rId16" w:tooltip="Pilze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Pilze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hyperlink r:id="rId17" w:tooltip="Protozoen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Protozoen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(Urtierchen), ein- und </w:t>
      </w:r>
      <w:proofErr w:type="spellStart"/>
      <w:r w:rsidRPr="00EF25FD">
        <w:rPr>
          <w:rFonts w:ascii="Times New Roman" w:hAnsi="Times New Roman" w:cs="Times New Roman"/>
          <w:sz w:val="24"/>
          <w:szCs w:val="24"/>
          <w:lang w:val="de-DE"/>
        </w:rPr>
        <w:t>wenigzellige</w:t>
      </w:r>
      <w:proofErr w:type="spellEnd"/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8" w:tooltip="Alge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Algen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EF25FD">
        <w:rPr>
          <w:rFonts w:ascii="Times New Roman" w:hAnsi="Times New Roman" w:cs="Times New Roman"/>
          <w:i/>
          <w:iCs/>
          <w:sz w:val="24"/>
          <w:szCs w:val="24"/>
          <w:lang w:val="de-DE"/>
        </w:rPr>
        <w:t>Mikroalgen</w:t>
      </w:r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) und </w:t>
      </w:r>
      <w:hyperlink r:id="rId19" w:tooltip="Viren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Viren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 xml:space="preserve">. Die Mikrobiologie ist ein Teilgebiet der Biologie und der </w:t>
      </w:r>
      <w:hyperlink r:id="rId20" w:tooltip="Medizin" w:history="1">
        <w:r w:rsidRPr="00EF25FD">
          <w:rPr>
            <w:rFonts w:ascii="Times New Roman" w:hAnsi="Times New Roman" w:cs="Times New Roman"/>
            <w:sz w:val="24"/>
            <w:szCs w:val="24"/>
            <w:u w:val="single"/>
            <w:lang w:val="de-DE"/>
          </w:rPr>
          <w:t>Medizin</w:t>
        </w:r>
      </w:hyperlink>
      <w:r w:rsidRPr="00EF25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F25FD" w:rsidRPr="00EF25FD" w:rsidRDefault="00EF25FD" w:rsidP="00EF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Die Mikrobiologie wird nach verschiedenen Gesichtspunkten in Spezialgebiete unterteilt. Die Einteilung richtet sich nach der Anwendung in anderen Disziplinen (z. B. </w:t>
      </w:r>
      <w:hyperlink r:id="rId21" w:tooltip="Medizinische Mikrobiologie" w:history="1">
        <w:r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Medizinische Mikrobiologie</w:t>
        </w:r>
      </w:hyperlink>
      <w:r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hyperlink r:id="rId22" w:tooltip="Lebensmittelmikrobiologie" w:history="1">
        <w:r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Lebensmittelmikrobiologie</w:t>
        </w:r>
      </w:hyperlink>
      <w:r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Technische Mikrobiologie), nach dem Lebensraum der Mikroorganismen (</w:t>
      </w:r>
      <w:hyperlink r:id="rId23" w:tooltip="Geomikrobiologie" w:history="1">
        <w:r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Geomikrobiologie</w:t>
        </w:r>
      </w:hyperlink>
      <w:r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Meeresmikrobiologie, Bodenmikrobiologie) oder nach den behandelten Mikroorganismengruppen: </w:t>
      </w:r>
    </w:p>
    <w:p w:rsidR="00EF25FD" w:rsidRPr="00EF25FD" w:rsidRDefault="0021626F" w:rsidP="00EF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4" w:tooltip="Bakteriologie" w:history="1">
        <w:r w:rsidR="00EF25FD"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Bakteriologie</w:t>
        </w:r>
      </w:hyperlink>
      <w:r w:rsidR="00EF25FD"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die Wissenschaft und Lehre von den Bakterien</w:t>
      </w:r>
    </w:p>
    <w:p w:rsidR="00EF25FD" w:rsidRPr="00EF25FD" w:rsidRDefault="0021626F" w:rsidP="00EF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5" w:tooltip="Mykologie" w:history="1">
        <w:r w:rsidR="00EF25FD"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Mykologie</w:t>
        </w:r>
      </w:hyperlink>
      <w:r w:rsidR="00EF25FD"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die Wissenschaft und Lehre von den Pilzen</w:t>
      </w:r>
    </w:p>
    <w:p w:rsidR="00EF25FD" w:rsidRPr="00EF25FD" w:rsidRDefault="0021626F" w:rsidP="00EF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6" w:tooltip="Protozoologie" w:history="1">
        <w:r w:rsidR="00EF25FD"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Protozoologie</w:t>
        </w:r>
      </w:hyperlink>
      <w:r w:rsidR="00EF25FD"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die Wissenschaft und Lehre von den Urtierchen</w:t>
      </w:r>
    </w:p>
    <w:p w:rsidR="00EF25FD" w:rsidRPr="00EF25FD" w:rsidRDefault="0021626F" w:rsidP="00EF25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27" w:tooltip="Virologie" w:history="1">
        <w:r w:rsidR="00EF25FD" w:rsidRPr="00EF25FD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 w:eastAsia="ru-RU"/>
          </w:rPr>
          <w:t>Virologie</w:t>
        </w:r>
      </w:hyperlink>
      <w:r w:rsidR="00EF25FD" w:rsidRPr="00EF25F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die Wissenschaft und Lehre von den Viren</w:t>
      </w:r>
    </w:p>
    <w:p w:rsidR="00DD1761" w:rsidRPr="00EF25FD" w:rsidRDefault="00DD1761">
      <w:pPr>
        <w:rPr>
          <w:lang w:val="de-DE"/>
        </w:rPr>
      </w:pPr>
    </w:p>
    <w:sectPr w:rsidR="00DD1761" w:rsidRPr="00EF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547B"/>
    <w:multiLevelType w:val="multilevel"/>
    <w:tmpl w:val="521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A54C1"/>
    <w:multiLevelType w:val="hybridMultilevel"/>
    <w:tmpl w:val="263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A"/>
    <w:rsid w:val="000F5F2A"/>
    <w:rsid w:val="0021626F"/>
    <w:rsid w:val="00DD1761"/>
    <w:rsid w:val="00E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.wikipedia.org/wiki/Biologie" TargetMode="External"/><Relationship Id="rId18" Type="http://schemas.openxmlformats.org/officeDocument/2006/relationships/hyperlink" Target="https://de.wikipedia.org/wiki/Alge" TargetMode="External"/><Relationship Id="rId26" Type="http://schemas.openxmlformats.org/officeDocument/2006/relationships/hyperlink" Target="https://de.wikipedia.org/wiki/Protozoolog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.wikipedia.org/wiki/Medizinische_Mikrobiologi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Griechische_Sprache" TargetMode="External"/><Relationship Id="rId17" Type="http://schemas.openxmlformats.org/officeDocument/2006/relationships/hyperlink" Target="https://de.wikipedia.org/wiki/Protozoen" TargetMode="External"/><Relationship Id="rId25" Type="http://schemas.openxmlformats.org/officeDocument/2006/relationships/hyperlink" Target="https://de.wikipedia.org/wiki/Mykolog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Pilze" TargetMode="External"/><Relationship Id="rId20" Type="http://schemas.openxmlformats.org/officeDocument/2006/relationships/hyperlink" Target="https://de.wikipedia.org/wiki/Medizi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Gustav_Grae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de.wikipedia.org/wiki/Bakteriolog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Bakterien" TargetMode="External"/><Relationship Id="rId23" Type="http://schemas.openxmlformats.org/officeDocument/2006/relationships/hyperlink" Target="https://de.wikipedia.org/wiki/Geomikrobiolog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wikipedia.org/wiki/Datei:Aetiologie_der_Tuberkulose.jpg" TargetMode="External"/><Relationship Id="rId19" Type="http://schemas.openxmlformats.org/officeDocument/2006/relationships/hyperlink" Target="https://de.wikipedia.org/wiki/Vi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Aetiologie_der_Tuberkulose.jpg" TargetMode="External"/><Relationship Id="rId14" Type="http://schemas.openxmlformats.org/officeDocument/2006/relationships/hyperlink" Target="https://de.wikipedia.org/wiki/Mikroorganismus" TargetMode="External"/><Relationship Id="rId22" Type="http://schemas.openxmlformats.org/officeDocument/2006/relationships/hyperlink" Target="https://de.wikipedia.org/wiki/Lebensmittelmikrobiologie" TargetMode="External"/><Relationship Id="rId27" Type="http://schemas.openxmlformats.org/officeDocument/2006/relationships/hyperlink" Target="https://de.wikipedia.org/wiki/Virolog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3104</Characters>
  <Application>Microsoft Office Word</Application>
  <DocSecurity>0</DocSecurity>
  <Lines>25</Lines>
  <Paragraphs>7</Paragraphs>
  <ScaleCrop>false</ScaleCrop>
  <Company>diakov.net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2020-02-17T05:56:00Z</dcterms:created>
  <dcterms:modified xsi:type="dcterms:W3CDTF">2020-02-17T06:03:00Z</dcterms:modified>
</cp:coreProperties>
</file>